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Times New Roman" w:hAnsi="Times New Roman" w:eastAsia="方正小标宋简体"/>
          <w:sz w:val="40"/>
          <w:szCs w:val="32"/>
        </w:rPr>
      </w:pPr>
      <w:r>
        <w:rPr>
          <w:rFonts w:ascii="Times New Roman" w:hAnsi="Times New Roman" w:eastAsia="方正小标宋简体"/>
          <w:sz w:val="40"/>
          <w:szCs w:val="32"/>
        </w:rPr>
        <w:t>学科知识、创新创业竞赛活动积分评定标准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eastAsia="仿宋_GB2312"/>
          <w:b/>
          <w:sz w:val="15"/>
          <w:szCs w:val="32"/>
        </w:rPr>
      </w:pP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竞赛创新积分=A*B*C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eastAsia="仿宋_GB2312"/>
          <w:b/>
          <w:sz w:val="32"/>
          <w:szCs w:val="32"/>
        </w:rPr>
      </w:pPr>
    </w:p>
    <w:p>
      <w:pPr>
        <w:pStyle w:val="4"/>
        <w:autoSpaceDE w:val="0"/>
        <w:autoSpaceDN w:val="0"/>
        <w:spacing w:line="500" w:lineRule="exact"/>
        <w:ind w:left="643" w:firstLine="0" w:firstLineChars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1．A为获奖等级</w:t>
      </w:r>
    </w:p>
    <w:tbl>
      <w:tblPr>
        <w:tblStyle w:val="3"/>
        <w:tblW w:w="886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8"/>
        <w:gridCol w:w="3402"/>
        <w:gridCol w:w="26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1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活动项目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获奖等级或内容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竞赛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国际级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特等奖或一等奖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3.5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国家级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省部级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1.5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校级</w:t>
            </w: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二等奖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1.5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三等奖</w:t>
            </w: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right="300" w:rightChars="143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2788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60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1.如竞赛奖项等级为“冠军”、“亚军”、“季军”，或奖项名称为“十佳”、“优秀”等，则参赛人数前3%以内等同于“一等奖”；前10%以内等同于“二等奖”；前20%以内等同于“三等奖”。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788" w:type="dxa"/>
            <w:gridSpan w:val="2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0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2.证明材料：相关证书或赛事主办方证明。</w:t>
            </w:r>
          </w:p>
        </w:tc>
      </w:tr>
    </w:tbl>
    <w:p>
      <w:pPr>
        <w:widowControl/>
        <w:spacing w:after="156" w:afterLines="50" w:line="480" w:lineRule="exact"/>
        <w:ind w:firstLine="643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2．B为同一项目类学生排序系数</w:t>
      </w:r>
    </w:p>
    <w:p>
      <w:pPr>
        <w:widowControl/>
        <w:spacing w:after="156" w:afterLines="50" w:line="4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集体项目的前三名参赛者获取相同的最高学分，第四名以下（含第四名）的参赛者乘以调节系数50%后保留小数点后一位数字，以0.5 为界限，0.1-0.4 则取0；0.5-0.9 则取0.5。</w:t>
      </w:r>
    </w:p>
    <w:p>
      <w:pPr>
        <w:widowControl/>
        <w:spacing w:after="156" w:afterLines="50" w:line="480" w:lineRule="exact"/>
        <w:ind w:firstLine="643" w:firstLineChars="200"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3．C为竞赛项目的影响因子</w:t>
      </w:r>
    </w:p>
    <w:p>
      <w:pPr>
        <w:widowControl/>
        <w:spacing w:after="156" w:afterLines="50" w:line="48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竞赛项目影响因子对应表</w:t>
      </w:r>
    </w:p>
    <w:tbl>
      <w:tblPr>
        <w:tblStyle w:val="3"/>
        <w:tblW w:w="90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0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32"/>
                <w:szCs w:val="28"/>
              </w:rPr>
              <w:t>竞赛名称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32"/>
                <w:szCs w:val="28"/>
              </w:rPr>
              <w:t>影响因子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中国“互联网+”大学生创新创业大赛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“挑战杯”全国大学生课外科技作品大赛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“创青春”全国大学生创业大赛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International Micro Air Vehicle Conference and Competition （IMAV）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International  Future  Energy  Challenge （IFEC）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国际无人飞行器创新大奖赛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全国大学生机器人大赛（RoboMasters）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全国大学生机器人大赛（Robocon）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全国大学生电子设计竞赛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“恩智浦”杯全国大学生智能车竞赛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中国智能车未来挑战赛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ACM国际大学生程序设计竞赛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日内瓦国际发明展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世界机器人大赛—共融机器人挑战赛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数学建模竞赛（美赛、高教社杯）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全国大学生数学竞赛（非数学类）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全国大学生物理竞赛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全国大学生英语竞赛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 xml:space="preserve">第一届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“西门子杯”全国大学生自动化挑战赛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“北斗杯”全国青少年科技创新大赛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“AB杯”全国大学生自动化系统应用大赛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“欧姆龙杯”自动化控制应用设计大赛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国际大学生iCAN创新创业大赛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全国大学生电气与自动化大赛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中国智能设计竞赛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全国信息技术应用水平大赛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中国国际飞行器设计挑战赛暨科研类全国航空航天模型锦标赛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全国软件和信息技术专业人才大赛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中国高校智能机器人创意大赛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北京市电子设计竞赛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全国大学生大数据挑战赛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“滨松杯”全国大学生光电设计竞赛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华为网络技术大赛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中国机器人大赛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中国大学生计算机博弈大赛/计算机博弈锦标赛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全国机器人锦标赛/仿人形机器人奥林匹克大赛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“世纪杯”系列竞赛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北京理工大学电子设计竞赛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0.3</w:t>
            </w:r>
          </w:p>
        </w:tc>
      </w:tr>
    </w:tbl>
    <w:p>
      <w:pPr>
        <w:widowControl/>
        <w:spacing w:after="156" w:afterLines="50" w:line="4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after="156" w:afterLines="50" w:line="48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对于以上未涉及到的项目，若其确实具备较高水平且对学院人才培养、学科建设具有较为显著推动作用，经学院认定后可追加赋值。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6058E"/>
    <w:rsid w:val="6D535020"/>
    <w:rsid w:val="794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78;&#26494;&#30000;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2019-12-03T08:09:00Z</dcterms:created>
  <dc:creator>admin</dc:creator>
  <cp:lastModifiedBy>admin</cp:lastModifiedBy>
  <dcterms:modified xsi:type="dcterms:W3CDTF">2019-12-03T08:10:34Z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